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BC269" w14:textId="77777777" w:rsidR="000B66F4" w:rsidRPr="005E00A5" w:rsidRDefault="00733B6D" w:rsidP="00430267">
      <w:pPr>
        <w:pStyle w:val="Heading1"/>
        <w:spacing w:before="0" w:after="0"/>
        <w:jc w:val="center"/>
        <w:rPr>
          <w:bCs/>
          <w:sz w:val="20"/>
        </w:rPr>
      </w:pPr>
      <w:bookmarkStart w:id="0" w:name="_Toc215043808"/>
      <w:bookmarkStart w:id="1" w:name="_Toc215050031"/>
      <w:r w:rsidRPr="009A19EC">
        <w:rPr>
          <w:sz w:val="20"/>
        </w:rPr>
        <w:t>State Compliance</w:t>
      </w:r>
      <w:r w:rsidR="000B66F4" w:rsidRPr="005E00A5">
        <w:rPr>
          <w:bCs/>
          <w:sz w:val="20"/>
        </w:rPr>
        <w:t xml:space="preserve"> Addendum</w:t>
      </w:r>
      <w:bookmarkEnd w:id="0"/>
      <w:bookmarkEnd w:id="1"/>
    </w:p>
    <w:p w14:paraId="23CE0B7D" w14:textId="77777777" w:rsidR="004D17E0" w:rsidRDefault="004D17E0" w:rsidP="000B66F4">
      <w:pPr>
        <w:jc w:val="center"/>
        <w:rPr>
          <w:b/>
        </w:rPr>
      </w:pPr>
    </w:p>
    <w:p w14:paraId="329B8FFB" w14:textId="77777777" w:rsidR="000B66F4" w:rsidRPr="00495F61" w:rsidRDefault="004D17E0" w:rsidP="000B66F4">
      <w:pPr>
        <w:jc w:val="center"/>
        <w:rPr>
          <w:b/>
        </w:rPr>
      </w:pPr>
      <w:smartTag w:uri="urn:schemas-microsoft-com:office:smarttags" w:element="State">
        <w:smartTag w:uri="urn:schemas-microsoft-com:office:smarttags" w:element="place">
          <w:r>
            <w:rPr>
              <w:b/>
            </w:rPr>
            <w:t>OHIO</w:t>
          </w:r>
        </w:smartTag>
      </w:smartTag>
    </w:p>
    <w:p w14:paraId="14EF544C" w14:textId="77777777" w:rsidR="00733B6D" w:rsidRDefault="00733B6D" w:rsidP="00733B6D">
      <w:pPr>
        <w:jc w:val="both"/>
      </w:pPr>
    </w:p>
    <w:p w14:paraId="3C819F5B" w14:textId="77777777" w:rsidR="00733B6D" w:rsidRDefault="00733B6D" w:rsidP="00733B6D">
      <w:pPr>
        <w:jc w:val="both"/>
      </w:pPr>
      <w:r w:rsidRPr="000715A2">
        <w:t xml:space="preserve">The State Compliance Addendum attached to this Agreement, is expressly incorporated into this Agreement </w:t>
      </w:r>
      <w:smartTag w:uri="urn:schemas-microsoft-com:office:smarttags" w:element="PersonName">
        <w:r w:rsidRPr="000715A2">
          <w:t>and</w:t>
        </w:r>
      </w:smartTag>
      <w:r w:rsidRPr="000715A2">
        <w:t xml:space="preserve"> is binding upon the Parties to this Agreement.  In the event of any inconsistent or contrary language between the State Compliance Addendum </w:t>
      </w:r>
      <w:smartTag w:uri="urn:schemas-microsoft-com:office:smarttags" w:element="PersonName">
        <w:r w:rsidRPr="000715A2">
          <w:t>and</w:t>
        </w:r>
      </w:smartTag>
      <w:r w:rsidRPr="000715A2">
        <w:t xml:space="preserve"> any other part of this Agreement, including but not limited to exhibits, attachments or amendments, the Parties agree that the provisions of the State Compliance Addendum shall prevail, but, if applicable, only with respect to a particular line of business (e.g., fully-insured HMO) </w:t>
      </w:r>
      <w:smartTag w:uri="urn:schemas-microsoft-com:office:smarttags" w:element="PersonName">
        <w:r w:rsidRPr="000715A2">
          <w:t>and</w:t>
        </w:r>
      </w:smartTag>
      <w:r w:rsidRPr="000715A2">
        <w:t>/or Product.</w:t>
      </w:r>
    </w:p>
    <w:p w14:paraId="53CB454B" w14:textId="77777777" w:rsidR="000B66F4" w:rsidRPr="00495F61" w:rsidRDefault="000B66F4" w:rsidP="000B66F4">
      <w:pPr>
        <w:jc w:val="both"/>
      </w:pPr>
    </w:p>
    <w:p w14:paraId="382E22EA" w14:textId="77777777" w:rsidR="00980F49" w:rsidRPr="0049759E" w:rsidRDefault="00980F49" w:rsidP="00980F49">
      <w:pPr>
        <w:tabs>
          <w:tab w:val="left" w:pos="576"/>
          <w:tab w:val="left" w:pos="720"/>
        </w:tabs>
        <w:jc w:val="both"/>
        <w:rPr>
          <w:b/>
        </w:rPr>
      </w:pPr>
      <w:r>
        <w:rPr>
          <w:b/>
        </w:rPr>
        <w:t>1.1</w:t>
      </w:r>
      <w:r w:rsidRPr="0049759E">
        <w:rPr>
          <w:b/>
        </w:rPr>
        <w:tab/>
      </w:r>
      <w:r>
        <w:rPr>
          <w:b/>
        </w:rPr>
        <w:t>General Obligations</w:t>
      </w:r>
    </w:p>
    <w:p w14:paraId="5CFE4E96" w14:textId="77777777" w:rsidR="00980F49" w:rsidRPr="0049759E" w:rsidRDefault="00980F49" w:rsidP="00980F49">
      <w:pPr>
        <w:jc w:val="both"/>
      </w:pPr>
    </w:p>
    <w:p w14:paraId="2319B9B2" w14:textId="4C6A4159" w:rsidR="00980F49" w:rsidRPr="004A2D5E" w:rsidRDefault="00980F49" w:rsidP="00980F49">
      <w:pPr>
        <w:jc w:val="both"/>
      </w:pPr>
      <w:r>
        <w:t xml:space="preserve">The following shall be added to </w:t>
      </w:r>
      <w:r w:rsidR="00410E03">
        <w:t>s</w:t>
      </w:r>
      <w:r>
        <w:t xml:space="preserve">ubsection (h) in </w:t>
      </w:r>
      <w:r w:rsidRPr="004A2D5E">
        <w:t xml:space="preserve">Section </w:t>
      </w:r>
      <w:r>
        <w:t>1.1</w:t>
      </w:r>
      <w:r w:rsidRPr="004A2D5E">
        <w:t xml:space="preserve"> </w:t>
      </w:r>
      <w:r>
        <w:t>General Obligations:</w:t>
      </w:r>
    </w:p>
    <w:p w14:paraId="2CF5960A" w14:textId="77777777" w:rsidR="009626F0" w:rsidRPr="00E000FC" w:rsidRDefault="009626F0" w:rsidP="009626F0">
      <w:pPr>
        <w:jc w:val="both"/>
      </w:pPr>
    </w:p>
    <w:p w14:paraId="6489D632" w14:textId="474EE096" w:rsidR="009626F0" w:rsidRPr="00E000FC" w:rsidRDefault="009626F0" w:rsidP="009626F0">
      <w:pPr>
        <w:jc w:val="both"/>
      </w:pPr>
      <w:r w:rsidRPr="00E000FC">
        <w:t>“</w:t>
      </w:r>
      <w:r w:rsidR="00980F49">
        <w:t xml:space="preserve">and </w:t>
      </w:r>
      <w:r w:rsidRPr="00E000FC">
        <w:t>shall observe, protect, and promote the rights of Members as patients.”</w:t>
      </w:r>
    </w:p>
    <w:p w14:paraId="16EB30D5" w14:textId="77777777" w:rsidR="009626F0" w:rsidRPr="00E000FC" w:rsidRDefault="009626F0" w:rsidP="009626F0">
      <w:pPr>
        <w:jc w:val="both"/>
      </w:pPr>
    </w:p>
    <w:p w14:paraId="57BD07BC" w14:textId="77777777" w:rsidR="009626F0" w:rsidRPr="00E000FC" w:rsidRDefault="00325E20" w:rsidP="009626F0">
      <w:pPr>
        <w:tabs>
          <w:tab w:val="left" w:pos="533"/>
        </w:tabs>
        <w:jc w:val="both"/>
        <w:rPr>
          <w:b/>
        </w:rPr>
      </w:pPr>
      <w:r>
        <w:rPr>
          <w:b/>
        </w:rPr>
        <w:t>1.</w:t>
      </w:r>
      <w:r w:rsidR="009626F0" w:rsidRPr="00E000FC">
        <w:rPr>
          <w:b/>
        </w:rPr>
        <w:t>2</w:t>
      </w:r>
      <w:r w:rsidR="009626F0" w:rsidRPr="00E000FC">
        <w:rPr>
          <w:b/>
        </w:rPr>
        <w:tab/>
      </w:r>
      <w:r w:rsidRPr="00005921">
        <w:rPr>
          <w:b/>
        </w:rPr>
        <w:t>Provider and Group Provider Contact and Service Information</w:t>
      </w:r>
    </w:p>
    <w:p w14:paraId="09DEA585" w14:textId="77777777" w:rsidR="009626F0" w:rsidRPr="00E000FC" w:rsidRDefault="009626F0" w:rsidP="00B522B8">
      <w:pPr>
        <w:jc w:val="both"/>
      </w:pPr>
    </w:p>
    <w:p w14:paraId="3D809A36" w14:textId="795CCB6A" w:rsidR="009626F0" w:rsidRPr="00E000FC" w:rsidRDefault="00325E20" w:rsidP="009626F0">
      <w:pPr>
        <w:jc w:val="both"/>
      </w:pPr>
      <w:r>
        <w:t xml:space="preserve">The following shall be added </w:t>
      </w:r>
      <w:r w:rsidR="00EB76EE">
        <w:t xml:space="preserve">after </w:t>
      </w:r>
      <w:r w:rsidR="009626F0" w:rsidRPr="00E000FC">
        <w:t xml:space="preserve">the </w:t>
      </w:r>
      <w:r>
        <w:t>second</w:t>
      </w:r>
      <w:r w:rsidRPr="00E000FC">
        <w:t xml:space="preserve"> </w:t>
      </w:r>
      <w:r w:rsidR="009626F0" w:rsidRPr="00E000FC">
        <w:t xml:space="preserve">sentence of Section </w:t>
      </w:r>
      <w:r>
        <w:t>1.</w:t>
      </w:r>
      <w:r w:rsidR="009626F0" w:rsidRPr="00E000FC">
        <w:t xml:space="preserve">2 </w:t>
      </w:r>
      <w:r w:rsidRPr="00A5790E">
        <w:t>Provider and Group Provider Contact and Service Information</w:t>
      </w:r>
      <w:r w:rsidR="00D165E0">
        <w:t>:</w:t>
      </w:r>
    </w:p>
    <w:p w14:paraId="09A8DA9E" w14:textId="77777777" w:rsidR="009626F0" w:rsidRDefault="009626F0" w:rsidP="009626F0">
      <w:pPr>
        <w:jc w:val="both"/>
      </w:pPr>
    </w:p>
    <w:p w14:paraId="2DD7A070" w14:textId="77777777" w:rsidR="00325E20" w:rsidRDefault="00325E20" w:rsidP="009626F0">
      <w:pPr>
        <w:jc w:val="both"/>
      </w:pPr>
      <w:r>
        <w:t>“</w:t>
      </w:r>
      <w:r w:rsidRPr="0053263B">
        <w:t xml:space="preserve">Provider agrees to make best efforts to provide to Company at least </w:t>
      </w:r>
      <w:r w:rsidRPr="00E000FC">
        <w:t>ten (10)</w:t>
      </w:r>
      <w:r>
        <w:t xml:space="preserve"> </w:t>
      </w:r>
      <w:r w:rsidRPr="0053263B">
        <w:t>days advance notice, and in any event will provide notice as soon as reasonably practicable, of any cancellati</w:t>
      </w:r>
      <w:r>
        <w:t>on or material modification of p</w:t>
      </w:r>
      <w:r w:rsidRPr="0053263B">
        <w:t>olicies of general and professional liability and other insurance</w:t>
      </w:r>
      <w:r>
        <w:t>.”</w:t>
      </w:r>
    </w:p>
    <w:p w14:paraId="4432B5A4" w14:textId="77777777" w:rsidR="00325E20" w:rsidRPr="00E000FC" w:rsidRDefault="00325E20" w:rsidP="009626F0">
      <w:pPr>
        <w:jc w:val="both"/>
      </w:pPr>
    </w:p>
    <w:p w14:paraId="1019B3B6" w14:textId="39580B75" w:rsidR="009626F0" w:rsidRPr="00107146" w:rsidRDefault="006F4EB2" w:rsidP="009626F0">
      <w:pPr>
        <w:tabs>
          <w:tab w:val="left" w:pos="360"/>
        </w:tabs>
        <w:jc w:val="both"/>
        <w:rPr>
          <w:b/>
        </w:rPr>
      </w:pPr>
      <w:r>
        <w:rPr>
          <w:b/>
        </w:rPr>
        <w:t>1.3</w:t>
      </w:r>
      <w:r w:rsidR="009626F0" w:rsidRPr="00107146">
        <w:rPr>
          <w:b/>
        </w:rPr>
        <w:tab/>
      </w:r>
      <w:r>
        <w:rPr>
          <w:b/>
        </w:rPr>
        <w:t>Compliance</w:t>
      </w:r>
      <w:r w:rsidRPr="00B522B8">
        <w:rPr>
          <w:b/>
        </w:rPr>
        <w:t xml:space="preserve"> with </w:t>
      </w:r>
      <w:r>
        <w:rPr>
          <w:b/>
        </w:rPr>
        <w:t xml:space="preserve">Company </w:t>
      </w:r>
      <w:r w:rsidR="009626F0" w:rsidRPr="00107146">
        <w:rPr>
          <w:b/>
        </w:rPr>
        <w:t>Policies</w:t>
      </w:r>
    </w:p>
    <w:p w14:paraId="45101666" w14:textId="77777777" w:rsidR="009626F0" w:rsidRDefault="009626F0" w:rsidP="009626F0">
      <w:pPr>
        <w:jc w:val="both"/>
      </w:pPr>
    </w:p>
    <w:p w14:paraId="15381342" w14:textId="79C4DB4A" w:rsidR="009626F0" w:rsidRPr="00E000FC" w:rsidRDefault="009626F0" w:rsidP="009626F0">
      <w:pPr>
        <w:jc w:val="both"/>
      </w:pPr>
      <w:r w:rsidRPr="00E000FC">
        <w:t xml:space="preserve">The following shall be added </w:t>
      </w:r>
      <w:r w:rsidR="006F4EB2">
        <w:t>to the</w:t>
      </w:r>
      <w:r w:rsidRPr="00E000FC">
        <w:t xml:space="preserve"> </w:t>
      </w:r>
      <w:r w:rsidR="00D165E0">
        <w:t xml:space="preserve">end of </w:t>
      </w:r>
      <w:r w:rsidRPr="00E000FC">
        <w:t xml:space="preserve">Section </w:t>
      </w:r>
      <w:r w:rsidR="006F4EB2">
        <w:t>1.3</w:t>
      </w:r>
      <w:r>
        <w:t xml:space="preserve"> </w:t>
      </w:r>
      <w:r w:rsidR="006F4EB2">
        <w:t xml:space="preserve">Compliance with Company </w:t>
      </w:r>
      <w:r>
        <w:t>Policies</w:t>
      </w:r>
      <w:r w:rsidRPr="00E000FC">
        <w:t>:</w:t>
      </w:r>
    </w:p>
    <w:p w14:paraId="23479A67" w14:textId="77777777" w:rsidR="009626F0" w:rsidRDefault="009626F0" w:rsidP="009626F0">
      <w:pPr>
        <w:jc w:val="both"/>
      </w:pPr>
    </w:p>
    <w:p w14:paraId="0CFB2994" w14:textId="77777777" w:rsidR="009626F0" w:rsidRPr="00E000FC" w:rsidRDefault="009626F0" w:rsidP="009626F0">
      <w:pPr>
        <w:jc w:val="both"/>
      </w:pPr>
      <w:r w:rsidRPr="00E000FC">
        <w:t xml:space="preserve">“In accordance with the requirements of O.R.C. Section 3963.03(D), Company shall provide applicable policies, procedures, or guidelines associated with </w:t>
      </w:r>
      <w:bookmarkStart w:id="2" w:name="OLE_LINK10"/>
      <w:r w:rsidRPr="00E000FC">
        <w:t>utilization management, quality improvement, or similar program</w:t>
      </w:r>
      <w:bookmarkEnd w:id="2"/>
      <w:r w:rsidRPr="00E000FC">
        <w:t xml:space="preserve"> upon request by Provider within fourteen (14) days of such request.”  </w:t>
      </w:r>
    </w:p>
    <w:p w14:paraId="1A76C32C" w14:textId="77777777" w:rsidR="009626F0" w:rsidRDefault="009626F0" w:rsidP="009626F0">
      <w:pPr>
        <w:jc w:val="both"/>
      </w:pPr>
    </w:p>
    <w:p w14:paraId="4AE54B98" w14:textId="77777777" w:rsidR="00AC3081" w:rsidRPr="00E000FC" w:rsidRDefault="00AC3081" w:rsidP="00AC3081">
      <w:pPr>
        <w:tabs>
          <w:tab w:val="left" w:pos="360"/>
        </w:tabs>
        <w:jc w:val="both"/>
        <w:rPr>
          <w:b/>
        </w:rPr>
      </w:pPr>
      <w:r>
        <w:rPr>
          <w:b/>
        </w:rPr>
        <w:t>2</w:t>
      </w:r>
      <w:r w:rsidRPr="00E000FC">
        <w:rPr>
          <w:b/>
        </w:rPr>
        <w:t>.2</w:t>
      </w:r>
      <w:r w:rsidRPr="00E000FC">
        <w:rPr>
          <w:b/>
        </w:rPr>
        <w:tab/>
      </w:r>
      <w:r>
        <w:rPr>
          <w:b/>
        </w:rPr>
        <w:t>Claims Payment</w:t>
      </w:r>
    </w:p>
    <w:p w14:paraId="5991E17B" w14:textId="77777777" w:rsidR="00AC3081" w:rsidRPr="00E000FC" w:rsidRDefault="00AC3081" w:rsidP="00AC3081">
      <w:pPr>
        <w:jc w:val="both"/>
      </w:pPr>
    </w:p>
    <w:p w14:paraId="4C840EAA" w14:textId="77777777" w:rsidR="00AC3081" w:rsidRPr="00E000FC" w:rsidRDefault="00AC3081" w:rsidP="00AC3081">
      <w:pPr>
        <w:jc w:val="both"/>
      </w:pPr>
      <w:r w:rsidRPr="00E000FC">
        <w:t xml:space="preserve">The following shall be added </w:t>
      </w:r>
      <w:r>
        <w:t>to the end of</w:t>
      </w:r>
      <w:r w:rsidRPr="00E000FC">
        <w:t xml:space="preserve"> Section </w:t>
      </w:r>
      <w:r>
        <w:t>2</w:t>
      </w:r>
      <w:r w:rsidRPr="00E000FC">
        <w:t xml:space="preserve">.2 </w:t>
      </w:r>
      <w:r>
        <w:t>Claims Payment</w:t>
      </w:r>
      <w:r w:rsidRPr="00E000FC">
        <w:t>:</w:t>
      </w:r>
    </w:p>
    <w:p w14:paraId="01336794" w14:textId="77777777" w:rsidR="00AC3081" w:rsidRPr="00E000FC" w:rsidRDefault="00AC3081" w:rsidP="00AC3081">
      <w:pPr>
        <w:jc w:val="both"/>
      </w:pPr>
    </w:p>
    <w:p w14:paraId="2C1947BF" w14:textId="77777777" w:rsidR="00AC3081" w:rsidRDefault="00AC3081" w:rsidP="00AC3081">
      <w:pPr>
        <w:jc w:val="both"/>
      </w:pPr>
      <w:r w:rsidRPr="00E000FC">
        <w:t xml:space="preserve">“In accordance with the requirements of O.R.C. Section 3963.03(A)(4), the contracting entity or </w:t>
      </w:r>
      <w:r>
        <w:t>P</w:t>
      </w:r>
      <w:r w:rsidRPr="00E000FC">
        <w:t xml:space="preserve">ayer responsible for processing payment for Covered Services due Provider shall be available on the provider secure website at </w:t>
      </w:r>
      <w:hyperlink r:id="rId7" w:history="1">
        <w:r w:rsidRPr="00E000FC">
          <w:rPr>
            <w:rStyle w:val="Hyperlink"/>
          </w:rPr>
          <w:t>www.aetna.com</w:t>
        </w:r>
      </w:hyperlink>
      <w:r w:rsidRPr="00E000FC">
        <w:t>.</w:t>
      </w:r>
      <w:r>
        <w:t xml:space="preserve"> The First Health client list is available at </w:t>
      </w:r>
      <w:hyperlink r:id="rId8" w:history="1">
        <w:r w:rsidRPr="002A320E">
          <w:rPr>
            <w:rStyle w:val="Hyperlink"/>
            <w:b/>
          </w:rPr>
          <w:t>www.directprovider.com</w:t>
        </w:r>
      </w:hyperlink>
      <w:r>
        <w:t>.</w:t>
      </w:r>
      <w:r w:rsidRPr="00E000FC">
        <w:t>”</w:t>
      </w:r>
    </w:p>
    <w:p w14:paraId="60E23FF4" w14:textId="77777777" w:rsidR="00AC3081" w:rsidRPr="00E000FC" w:rsidRDefault="00AC3081" w:rsidP="00AC3081">
      <w:pPr>
        <w:jc w:val="both"/>
      </w:pPr>
    </w:p>
    <w:p w14:paraId="592A2F7F" w14:textId="34BFA44E" w:rsidR="009626F0" w:rsidRPr="00E000FC" w:rsidRDefault="007B37D3" w:rsidP="009626F0">
      <w:pPr>
        <w:tabs>
          <w:tab w:val="left" w:pos="533"/>
        </w:tabs>
        <w:jc w:val="both"/>
        <w:rPr>
          <w:b/>
        </w:rPr>
      </w:pPr>
      <w:r>
        <w:rPr>
          <w:b/>
        </w:rPr>
        <w:t>5.</w:t>
      </w:r>
      <w:r w:rsidR="00EB76EE">
        <w:rPr>
          <w:b/>
        </w:rPr>
        <w:t>4</w:t>
      </w:r>
      <w:r w:rsidR="009626F0" w:rsidRPr="00E000FC">
        <w:rPr>
          <w:b/>
        </w:rPr>
        <w:tab/>
      </w:r>
      <w:r>
        <w:rPr>
          <w:b/>
        </w:rPr>
        <w:t>Obligations Following Termination</w:t>
      </w:r>
    </w:p>
    <w:p w14:paraId="426D0409" w14:textId="77777777" w:rsidR="009626F0" w:rsidRPr="00E000FC" w:rsidRDefault="009626F0" w:rsidP="009626F0">
      <w:pPr>
        <w:jc w:val="both"/>
        <w:rPr>
          <w:b/>
        </w:rPr>
      </w:pPr>
    </w:p>
    <w:p w14:paraId="6B40B27F" w14:textId="32CD0524" w:rsidR="009626F0" w:rsidRPr="00E000FC" w:rsidRDefault="009626F0" w:rsidP="00B522B8">
      <w:pPr>
        <w:tabs>
          <w:tab w:val="left" w:pos="533"/>
        </w:tabs>
        <w:jc w:val="both"/>
      </w:pPr>
      <w:r w:rsidRPr="00E000FC">
        <w:t xml:space="preserve">The </w:t>
      </w:r>
      <w:r w:rsidR="007B37D3">
        <w:t xml:space="preserve">following shall be added to the end </w:t>
      </w:r>
      <w:r w:rsidRPr="00E000FC">
        <w:t xml:space="preserve">of Section </w:t>
      </w:r>
      <w:r w:rsidR="00AD15DC">
        <w:t>5.</w:t>
      </w:r>
      <w:r w:rsidR="00EB76EE">
        <w:t>4</w:t>
      </w:r>
      <w:r w:rsidRPr="00E000FC">
        <w:t xml:space="preserve"> </w:t>
      </w:r>
      <w:r w:rsidR="007B37D3" w:rsidRPr="00A5790E">
        <w:t>Obligations Following Termination</w:t>
      </w:r>
      <w:r w:rsidRPr="00E000FC">
        <w:t>:</w:t>
      </w:r>
    </w:p>
    <w:p w14:paraId="2C0C9B30" w14:textId="77777777" w:rsidR="009626F0" w:rsidRPr="00E000FC" w:rsidRDefault="009626F0" w:rsidP="009626F0">
      <w:pPr>
        <w:jc w:val="both"/>
      </w:pPr>
    </w:p>
    <w:p w14:paraId="7AAA4D3C" w14:textId="4515F7EA" w:rsidR="009626F0" w:rsidRDefault="009626F0" w:rsidP="009626F0">
      <w:pPr>
        <w:jc w:val="both"/>
      </w:pPr>
      <w:r w:rsidRPr="00E000FC">
        <w:t xml:space="preserve">“If this Agreement terminates as a result of insolvency or </w:t>
      </w:r>
      <w:r w:rsidRPr="007B37D3">
        <w:t xml:space="preserve">discontinuation of operations of Company, and as to Members of HIC that become insolvent </w:t>
      </w:r>
      <w:r w:rsidRPr="00D165E0">
        <w:t>or cease operations</w:t>
      </w:r>
      <w:r w:rsidRPr="00A5790E">
        <w:t xml:space="preserve">, Provider shall continue to provide Provider Services to Members as needed to complete any </w:t>
      </w:r>
      <w:r w:rsidR="007B37D3" w:rsidRPr="00A5790E">
        <w:t>m</w:t>
      </w:r>
      <w:r w:rsidR="007B37D3" w:rsidRPr="007B37D3">
        <w:t xml:space="preserve">edically </w:t>
      </w:r>
      <w:r w:rsidR="007B37D3" w:rsidRPr="00A5790E">
        <w:t>n</w:t>
      </w:r>
      <w:r w:rsidR="007B37D3" w:rsidRPr="007B37D3">
        <w:t xml:space="preserve">ecessary </w:t>
      </w:r>
      <w:r w:rsidR="007B37D3" w:rsidRPr="00A5790E">
        <w:t>s</w:t>
      </w:r>
      <w:r w:rsidR="007B37D3" w:rsidRPr="007B37D3">
        <w:t xml:space="preserve">ervices </w:t>
      </w:r>
      <w:r w:rsidRPr="007B37D3">
        <w:t>commenced but not completed at the time of H</w:t>
      </w:r>
      <w:r w:rsidR="007B37D3" w:rsidRPr="00A5790E">
        <w:t xml:space="preserve">eath </w:t>
      </w:r>
      <w:r w:rsidRPr="007B37D3">
        <w:t>I</w:t>
      </w:r>
      <w:r w:rsidR="007B37D3" w:rsidRPr="00A5790E">
        <w:t xml:space="preserve">nsuring </w:t>
      </w:r>
      <w:r w:rsidRPr="007B37D3">
        <w:t>C</w:t>
      </w:r>
      <w:r w:rsidR="007B37D3" w:rsidRPr="00A5790E">
        <w:t>orporation</w:t>
      </w:r>
      <w:r w:rsidRPr="007B37D3">
        <w:t>’s insolvency or discontinuation of operations, provided that Provider shall not be obligated to provide such services beyond the occurrence of any of the following:  (i) the end of the thirty-day period following the entry of a liquidation order under Chap</w:t>
      </w:r>
      <w:r w:rsidRPr="00D165E0">
        <w:t>ter 3903 of the Ohio Revised Code; (ii) the end of the Member’s period of coverage for a contractual prepayment or premium; (iii) the Member obtains equivalent coverage with another HIC or insurer, or the Member’s employer obtains such coverage for the Member; (iv) the Member or the Member’s employer terminated coverage under its contract; or (v) a liquidator effects a transfer of the HIC’s obligation under the contract under Ohio Revised Code section</w:t>
      </w:r>
      <w:r w:rsidRPr="00A5790E">
        <w:t xml:space="preserve"> 3903.21 (A)(8).”</w:t>
      </w:r>
    </w:p>
    <w:p w14:paraId="7261FDF7" w14:textId="77777777" w:rsidR="006F4EB2" w:rsidRPr="00E000FC" w:rsidRDefault="006F4EB2" w:rsidP="009626F0">
      <w:pPr>
        <w:jc w:val="both"/>
      </w:pPr>
    </w:p>
    <w:p w14:paraId="3458E0A5" w14:textId="24B4AF16" w:rsidR="007D2E83" w:rsidRPr="006F58E6" w:rsidRDefault="00087F22" w:rsidP="007D2E83">
      <w:pPr>
        <w:jc w:val="both"/>
        <w:rPr>
          <w:b/>
        </w:rPr>
      </w:pPr>
      <w:r>
        <w:rPr>
          <w:b/>
        </w:rPr>
        <w:t>6</w:t>
      </w:r>
      <w:r w:rsidR="007D2E83" w:rsidRPr="006F58E6">
        <w:rPr>
          <w:b/>
        </w:rPr>
        <w:t>.1</w:t>
      </w:r>
      <w:r w:rsidR="007D2E83" w:rsidRPr="006F58E6">
        <w:rPr>
          <w:b/>
        </w:rPr>
        <w:tab/>
        <w:t>Independent Contractor Status</w:t>
      </w:r>
      <w:r w:rsidR="007D2E83">
        <w:rPr>
          <w:b/>
        </w:rPr>
        <w:t>/</w:t>
      </w:r>
      <w:r w:rsidR="00942F34">
        <w:rPr>
          <w:b/>
        </w:rPr>
        <w:t>Indemnification</w:t>
      </w:r>
    </w:p>
    <w:p w14:paraId="50AEF3C8" w14:textId="77777777" w:rsidR="007D2E83" w:rsidRDefault="007D2E83" w:rsidP="007D2E83">
      <w:pPr>
        <w:jc w:val="both"/>
      </w:pPr>
    </w:p>
    <w:p w14:paraId="62CB1154" w14:textId="1D2E39D7" w:rsidR="007D2E83" w:rsidRDefault="007D2E83" w:rsidP="00D85DE0">
      <w:pPr>
        <w:jc w:val="both"/>
      </w:pPr>
      <w:r>
        <w:t xml:space="preserve">The following shall be added before the third sentence of Section </w:t>
      </w:r>
      <w:r w:rsidR="00087F22">
        <w:t>6</w:t>
      </w:r>
      <w:r>
        <w:t>.1 Independent Contractor</w:t>
      </w:r>
      <w:r w:rsidR="00942F34">
        <w:t xml:space="preserve"> </w:t>
      </w:r>
      <w:r>
        <w:t>Status/</w:t>
      </w:r>
      <w:r w:rsidR="00942F34">
        <w:t>Indemnification</w:t>
      </w:r>
      <w:r>
        <w:t>:</w:t>
      </w:r>
    </w:p>
    <w:p w14:paraId="23649CE8" w14:textId="77777777" w:rsidR="007D2E83" w:rsidRDefault="007D2E83" w:rsidP="007D2E83">
      <w:pPr>
        <w:jc w:val="both"/>
      </w:pPr>
    </w:p>
    <w:p w14:paraId="65E43E81" w14:textId="77777777" w:rsidR="007D2E83" w:rsidRDefault="007D2E83" w:rsidP="007D2E83">
      <w:pPr>
        <w:jc w:val="both"/>
      </w:pPr>
      <w:r>
        <w:t>“</w:t>
      </w:r>
      <w:r w:rsidRPr="00700E83">
        <w:t xml:space="preserve">Company shall maintain oversight of the offering of </w:t>
      </w:r>
      <w:r>
        <w:t>C</w:t>
      </w:r>
      <w:r w:rsidRPr="00700E83">
        <w:t xml:space="preserve">overed Service provided by </w:t>
      </w:r>
      <w:r>
        <w:t>Provider</w:t>
      </w:r>
      <w:r w:rsidRPr="00700E83">
        <w:t xml:space="preserve"> to </w:t>
      </w:r>
      <w:r>
        <w:t>M</w:t>
      </w:r>
      <w:r w:rsidRPr="00700E83">
        <w:t>embers as required by applicable state laws or regulations.  Notwithstanding,</w:t>
      </w:r>
      <w:r>
        <w:t>”.</w:t>
      </w:r>
    </w:p>
    <w:p w14:paraId="003ECCFC" w14:textId="77777777" w:rsidR="009626F0" w:rsidRPr="00E000FC" w:rsidRDefault="009626F0" w:rsidP="009626F0">
      <w:pPr>
        <w:jc w:val="both"/>
      </w:pPr>
    </w:p>
    <w:p w14:paraId="044A852A" w14:textId="116D9F29" w:rsidR="009626F0" w:rsidRPr="00E000FC" w:rsidRDefault="00087F22" w:rsidP="009626F0">
      <w:pPr>
        <w:jc w:val="both"/>
        <w:rPr>
          <w:b/>
        </w:rPr>
      </w:pPr>
      <w:r>
        <w:rPr>
          <w:b/>
        </w:rPr>
        <w:t>7.1</w:t>
      </w:r>
      <w:r w:rsidR="009626F0" w:rsidRPr="00E000FC">
        <w:rPr>
          <w:b/>
        </w:rPr>
        <w:tab/>
        <w:t>Dispute Resolution</w:t>
      </w:r>
    </w:p>
    <w:p w14:paraId="39E356C7" w14:textId="77777777" w:rsidR="009626F0" w:rsidRDefault="009626F0" w:rsidP="009626F0">
      <w:pPr>
        <w:jc w:val="both"/>
      </w:pPr>
    </w:p>
    <w:p w14:paraId="6184F32F" w14:textId="7D66C6F0" w:rsidR="009626F0" w:rsidRPr="00E000FC" w:rsidRDefault="009626F0" w:rsidP="009626F0">
      <w:pPr>
        <w:jc w:val="both"/>
      </w:pPr>
      <w:r w:rsidRPr="00E000FC">
        <w:t xml:space="preserve">The following shall be added </w:t>
      </w:r>
      <w:r w:rsidR="00087F22">
        <w:t>to the end of</w:t>
      </w:r>
      <w:r w:rsidRPr="00E000FC">
        <w:t xml:space="preserve"> Section </w:t>
      </w:r>
      <w:r w:rsidR="00087F22">
        <w:t>7.1</w:t>
      </w:r>
      <w:r>
        <w:t xml:space="preserve"> Dispute Resolution</w:t>
      </w:r>
      <w:r w:rsidRPr="00E000FC">
        <w:t>:</w:t>
      </w:r>
    </w:p>
    <w:p w14:paraId="4472326F" w14:textId="77777777" w:rsidR="009626F0" w:rsidRDefault="009626F0" w:rsidP="009626F0">
      <w:pPr>
        <w:jc w:val="both"/>
      </w:pPr>
    </w:p>
    <w:p w14:paraId="6C05966D" w14:textId="77777777" w:rsidR="009626F0" w:rsidRDefault="009626F0" w:rsidP="009626F0">
      <w:pPr>
        <w:jc w:val="both"/>
      </w:pPr>
      <w:r w:rsidRPr="00E000FC">
        <w:t xml:space="preserve">“In accordance with the requirements of O.R.C. Section 3963.03(A)(5), Company’s internal mechanism for resolving disputes is available on the provider secure at </w:t>
      </w:r>
      <w:hyperlink r:id="rId9" w:history="1">
        <w:r w:rsidRPr="00E000FC">
          <w:rPr>
            <w:rStyle w:val="Hyperlink"/>
          </w:rPr>
          <w:t>www.aetna.com</w:t>
        </w:r>
      </w:hyperlink>
      <w:r w:rsidRPr="00E000FC">
        <w:t>.</w:t>
      </w:r>
      <w:r>
        <w:t>”</w:t>
      </w:r>
    </w:p>
    <w:p w14:paraId="2D68C617" w14:textId="77777777" w:rsidR="009626F0" w:rsidRPr="00E000FC" w:rsidRDefault="009626F0" w:rsidP="009626F0">
      <w:pPr>
        <w:jc w:val="both"/>
      </w:pPr>
    </w:p>
    <w:p w14:paraId="278428D0" w14:textId="65DC5731" w:rsidR="009626F0" w:rsidRPr="00E000FC" w:rsidRDefault="00087F22" w:rsidP="009626F0">
      <w:pPr>
        <w:jc w:val="both"/>
        <w:rPr>
          <w:b/>
        </w:rPr>
      </w:pPr>
      <w:r>
        <w:rPr>
          <w:b/>
        </w:rPr>
        <w:t>7.2</w:t>
      </w:r>
      <w:r w:rsidR="009626F0" w:rsidRPr="00E000FC">
        <w:rPr>
          <w:b/>
        </w:rPr>
        <w:tab/>
        <w:t>Arbitration</w:t>
      </w:r>
    </w:p>
    <w:p w14:paraId="141E7FD8" w14:textId="77777777" w:rsidR="009626F0" w:rsidRDefault="009626F0" w:rsidP="009626F0">
      <w:pPr>
        <w:jc w:val="both"/>
      </w:pPr>
    </w:p>
    <w:p w14:paraId="711B317F" w14:textId="5109F21A" w:rsidR="009626F0" w:rsidRDefault="009626F0" w:rsidP="009626F0">
      <w:pPr>
        <w:jc w:val="both"/>
      </w:pPr>
      <w:r>
        <w:t xml:space="preserve">The following shall be added to the end of Section </w:t>
      </w:r>
      <w:r w:rsidR="00087F22">
        <w:t>7.2</w:t>
      </w:r>
      <w:r>
        <w:t xml:space="preserve"> Arbitration:</w:t>
      </w:r>
    </w:p>
    <w:p w14:paraId="3B46BF89" w14:textId="77777777" w:rsidR="009626F0" w:rsidRDefault="009626F0" w:rsidP="009626F0">
      <w:pPr>
        <w:jc w:val="both"/>
      </w:pPr>
    </w:p>
    <w:p w14:paraId="242EC1EA" w14:textId="734F0115" w:rsidR="009626F0" w:rsidRDefault="009626F0" w:rsidP="009626F0">
      <w:pPr>
        <w:pStyle w:val="WC-38Hang"/>
        <w:ind w:left="547"/>
      </w:pPr>
      <w:r>
        <w:t>“</w:t>
      </w:r>
      <w:r w:rsidRPr="00196BD6">
        <w:t xml:space="preserve">This </w:t>
      </w:r>
      <w:r w:rsidR="0034385F">
        <w:t>s</w:t>
      </w:r>
      <w:r w:rsidR="0034385F" w:rsidRPr="00196BD6">
        <w:t xml:space="preserve">ection </w:t>
      </w:r>
      <w:r w:rsidR="00106972" w:rsidRPr="00196BD6">
        <w:t xml:space="preserve"> </w:t>
      </w:r>
      <w:r w:rsidRPr="00196BD6">
        <w:t>is subject to and modified as necessary to comply with O.R.C. Section 3963.02(F)(1)-(3).</w:t>
      </w:r>
      <w:r>
        <w:t>”</w:t>
      </w:r>
    </w:p>
    <w:p w14:paraId="30D1EB00" w14:textId="77777777" w:rsidR="009626F0" w:rsidRPr="00E000FC" w:rsidRDefault="009626F0" w:rsidP="009626F0">
      <w:pPr>
        <w:jc w:val="both"/>
      </w:pPr>
    </w:p>
    <w:p w14:paraId="0031334C" w14:textId="38E9860E" w:rsidR="009626F0" w:rsidRPr="00E000FC" w:rsidRDefault="00087F22" w:rsidP="009626F0">
      <w:pPr>
        <w:tabs>
          <w:tab w:val="left" w:pos="389"/>
          <w:tab w:val="num" w:pos="540"/>
          <w:tab w:val="left" w:pos="1440"/>
          <w:tab w:val="left" w:pos="2160"/>
          <w:tab w:val="left" w:pos="2880"/>
        </w:tabs>
        <w:jc w:val="both"/>
        <w:rPr>
          <w:b/>
        </w:rPr>
      </w:pPr>
      <w:r>
        <w:rPr>
          <w:b/>
        </w:rPr>
        <w:t>8</w:t>
      </w:r>
      <w:r w:rsidR="009626F0" w:rsidRPr="00E000FC">
        <w:rPr>
          <w:b/>
        </w:rPr>
        <w:t>.0</w:t>
      </w:r>
      <w:r w:rsidR="009626F0" w:rsidRPr="00E000FC">
        <w:rPr>
          <w:b/>
        </w:rPr>
        <w:tab/>
        <w:t>Miscellaneous</w:t>
      </w:r>
    </w:p>
    <w:p w14:paraId="7A89AB58" w14:textId="77777777" w:rsidR="009626F0" w:rsidRPr="00E000FC" w:rsidRDefault="009626F0" w:rsidP="009626F0">
      <w:pPr>
        <w:tabs>
          <w:tab w:val="num" w:pos="540"/>
          <w:tab w:val="left" w:pos="1440"/>
          <w:tab w:val="left" w:pos="2160"/>
          <w:tab w:val="left" w:pos="2880"/>
        </w:tabs>
        <w:jc w:val="both"/>
      </w:pPr>
    </w:p>
    <w:p w14:paraId="0E7F4CC7" w14:textId="71C8917D" w:rsidR="009626F0" w:rsidRPr="00E000FC" w:rsidRDefault="009626F0" w:rsidP="009626F0">
      <w:pPr>
        <w:tabs>
          <w:tab w:val="num" w:pos="540"/>
          <w:tab w:val="left" w:pos="1440"/>
          <w:tab w:val="left" w:pos="2160"/>
          <w:tab w:val="left" w:pos="2880"/>
        </w:tabs>
        <w:jc w:val="both"/>
      </w:pPr>
      <w:r w:rsidRPr="00E000FC">
        <w:t xml:space="preserve">The following shall be added to the end of Section </w:t>
      </w:r>
      <w:r w:rsidR="00087F22">
        <w:t>8</w:t>
      </w:r>
      <w:r w:rsidRPr="00E000FC">
        <w:t>.0 Miscellaneous:</w:t>
      </w:r>
    </w:p>
    <w:p w14:paraId="44B12F1B" w14:textId="77777777" w:rsidR="009626F0" w:rsidRPr="00E000FC" w:rsidRDefault="009626F0" w:rsidP="009626F0">
      <w:pPr>
        <w:tabs>
          <w:tab w:val="num" w:pos="540"/>
          <w:tab w:val="left" w:pos="1440"/>
          <w:tab w:val="left" w:pos="2160"/>
          <w:tab w:val="left" w:pos="2880"/>
        </w:tabs>
        <w:jc w:val="both"/>
      </w:pPr>
    </w:p>
    <w:p w14:paraId="5C68FD38" w14:textId="4053AA7B" w:rsidR="009626F0" w:rsidRDefault="009626F0" w:rsidP="00942F34">
      <w:pPr>
        <w:pStyle w:val="Heading2"/>
        <w:keepNext w:val="0"/>
        <w:tabs>
          <w:tab w:val="left" w:pos="540"/>
        </w:tabs>
        <w:ind w:left="533" w:hanging="533"/>
        <w:jc w:val="both"/>
        <w:rPr>
          <w:sz w:val="20"/>
        </w:rPr>
      </w:pPr>
      <w:r w:rsidRPr="00E000FC">
        <w:rPr>
          <w:sz w:val="20"/>
        </w:rPr>
        <w:t>“</w:t>
      </w:r>
      <w:r w:rsidR="00087F22">
        <w:rPr>
          <w:sz w:val="20"/>
        </w:rPr>
        <w:t>8</w:t>
      </w:r>
      <w:r w:rsidRPr="00E000FC">
        <w:rPr>
          <w:sz w:val="20"/>
        </w:rPr>
        <w:t>.</w:t>
      </w:r>
      <w:r w:rsidR="00087F22">
        <w:rPr>
          <w:sz w:val="20"/>
        </w:rPr>
        <w:t>8</w:t>
      </w:r>
      <w:r w:rsidRPr="00E000FC">
        <w:rPr>
          <w:sz w:val="20"/>
        </w:rPr>
        <w:tab/>
      </w:r>
      <w:r w:rsidRPr="00E000FC">
        <w:rPr>
          <w:sz w:val="20"/>
          <w:u w:val="single"/>
        </w:rPr>
        <w:t>Defined Terms.</w:t>
      </w:r>
      <w:r w:rsidRPr="00E000FC">
        <w:rPr>
          <w:sz w:val="20"/>
        </w:rPr>
        <w:t xml:space="preserve">  The terms used in this Agreement and that are defined by Chapter 1751 of the Ohio Revised Code, are used in the Agreement in a manner consistent with those definitions.</w:t>
      </w:r>
    </w:p>
    <w:p w14:paraId="42C72216" w14:textId="77777777" w:rsidR="009626F0" w:rsidRPr="00262C86" w:rsidRDefault="009626F0" w:rsidP="009626F0"/>
    <w:p w14:paraId="6C73908A" w14:textId="3799AF93" w:rsidR="009626F0" w:rsidRPr="00107146" w:rsidRDefault="00087F22" w:rsidP="009626F0">
      <w:pPr>
        <w:tabs>
          <w:tab w:val="left" w:pos="360"/>
        </w:tabs>
        <w:jc w:val="both"/>
        <w:rPr>
          <w:b/>
        </w:rPr>
      </w:pPr>
      <w:r>
        <w:rPr>
          <w:b/>
        </w:rPr>
        <w:t>8</w:t>
      </w:r>
      <w:r w:rsidR="009626F0" w:rsidRPr="00107146">
        <w:rPr>
          <w:b/>
        </w:rPr>
        <w:t>.</w:t>
      </w:r>
      <w:r w:rsidR="00504EE5">
        <w:rPr>
          <w:b/>
        </w:rPr>
        <w:t>5</w:t>
      </w:r>
      <w:r w:rsidR="009626F0" w:rsidRPr="00107146">
        <w:rPr>
          <w:b/>
        </w:rPr>
        <w:tab/>
        <w:t>Amendments</w:t>
      </w:r>
    </w:p>
    <w:p w14:paraId="287CE336" w14:textId="77777777" w:rsidR="009626F0" w:rsidRDefault="009626F0" w:rsidP="009626F0">
      <w:pPr>
        <w:jc w:val="both"/>
      </w:pPr>
    </w:p>
    <w:p w14:paraId="5A2569CE" w14:textId="62B21676" w:rsidR="009626F0" w:rsidRDefault="009626F0" w:rsidP="009626F0">
      <w:pPr>
        <w:jc w:val="both"/>
      </w:pPr>
      <w:r>
        <w:t xml:space="preserve">The following shall be added to the end of Section </w:t>
      </w:r>
      <w:r w:rsidR="00CE1127">
        <w:t>8.</w:t>
      </w:r>
      <w:r w:rsidR="00504EE5">
        <w:t>5</w:t>
      </w:r>
      <w:r w:rsidR="007D2E83">
        <w:t xml:space="preserve"> </w:t>
      </w:r>
      <w:r>
        <w:t>Amendments:</w:t>
      </w:r>
    </w:p>
    <w:p w14:paraId="6858DFD9" w14:textId="77777777" w:rsidR="009626F0" w:rsidRDefault="009626F0" w:rsidP="009626F0">
      <w:pPr>
        <w:jc w:val="both"/>
      </w:pPr>
    </w:p>
    <w:p w14:paraId="349063C5" w14:textId="5BA9D3CF" w:rsidR="009626F0" w:rsidRDefault="009626F0" w:rsidP="009626F0">
      <w:pPr>
        <w:jc w:val="both"/>
      </w:pPr>
      <w:r w:rsidRPr="00E80AC2">
        <w:t xml:space="preserve">“In accordance with the requirements of O.R.C. Section 3963.04(A)(1)-(4) and Section </w:t>
      </w:r>
      <w:r w:rsidR="00087F22">
        <w:t>8</w:t>
      </w:r>
      <w:r w:rsidRPr="00E80AC2">
        <w:t>.</w:t>
      </w:r>
      <w:r w:rsidR="00087F22">
        <w:t>6</w:t>
      </w:r>
      <w:r w:rsidR="00087F22" w:rsidRPr="00E80AC2">
        <w:t xml:space="preserve"> </w:t>
      </w:r>
      <w:r w:rsidRPr="00E80AC2">
        <w:t xml:space="preserve">of this Agreement, Company shall: (i) provide at least fifteen (15) </w:t>
      </w:r>
      <w:proofErr w:type="spellStart"/>
      <w:r w:rsidRPr="00E80AC2">
        <w:t>days notice</w:t>
      </w:r>
      <w:proofErr w:type="spellEnd"/>
      <w:r w:rsidRPr="00E80AC2">
        <w:t xml:space="preserve"> prior to the effective date if the amendment to this Agreement is a non-material change; and (ii) provide at least ninety (90) days notices prior to the effective date if the amendment to this Agreement is a </w:t>
      </w:r>
      <w:r w:rsidR="00087F22">
        <w:t>m</w:t>
      </w:r>
      <w:r w:rsidR="00087F22" w:rsidRPr="00E80AC2">
        <w:t xml:space="preserve">aterial </w:t>
      </w:r>
      <w:r w:rsidR="00087F22">
        <w:t>c</w:t>
      </w:r>
      <w:r w:rsidR="00087F22" w:rsidRPr="00E80AC2">
        <w:t>hange</w:t>
      </w:r>
      <w:r w:rsidRPr="00E80AC2">
        <w:t xml:space="preserve">.  Such notices shall be entitled “Notice of Material Amendment to Contract.”  If within fifteen (15) days after receipt of such notice, Provider objects in writing to the material amendment, and there is no resolution of the objection, either Party may terminate the Agreement in accordance with </w:t>
      </w:r>
      <w:r w:rsidR="00341F83">
        <w:t>TERM</w:t>
      </w:r>
      <w:r w:rsidRPr="00E80AC2">
        <w:t xml:space="preserve"> of the Agreement no later than sixty (60) days prior to the effective date of the material amendment.  If Provider does not object to the </w:t>
      </w:r>
      <w:r w:rsidR="00341F83">
        <w:t>m</w:t>
      </w:r>
      <w:r w:rsidR="00341F83" w:rsidRPr="00E80AC2">
        <w:t xml:space="preserve">aterial </w:t>
      </w:r>
      <w:r w:rsidR="00341F83">
        <w:t>c</w:t>
      </w:r>
      <w:r w:rsidR="00341F83" w:rsidRPr="00E80AC2">
        <w:t xml:space="preserve">hange </w:t>
      </w:r>
      <w:r w:rsidRPr="00E80AC2">
        <w:t>the change shall be effective as specified in the notice.”</w:t>
      </w:r>
    </w:p>
    <w:p w14:paraId="2250518A" w14:textId="77777777" w:rsidR="009626F0" w:rsidRDefault="009626F0" w:rsidP="009626F0">
      <w:pPr>
        <w:jc w:val="both"/>
      </w:pPr>
    </w:p>
    <w:p w14:paraId="7E54CDDB" w14:textId="77777777" w:rsidR="009626F0" w:rsidRPr="00473F85" w:rsidRDefault="009626F0" w:rsidP="009626F0">
      <w:pPr>
        <w:tabs>
          <w:tab w:val="left" w:pos="540"/>
          <w:tab w:val="left" w:pos="1440"/>
          <w:tab w:val="left" w:pos="2160"/>
          <w:tab w:val="left" w:pos="2880"/>
        </w:tabs>
        <w:jc w:val="both"/>
      </w:pPr>
      <w:r w:rsidRPr="00473F85">
        <w:t xml:space="preserve">As required by O.R.C. Section 3963.03(A)(6), the schedules, exhibits, attachments or addenda attached to this Agreement include the following: </w:t>
      </w:r>
    </w:p>
    <w:p w14:paraId="166A49A4" w14:textId="77777777" w:rsidR="00846B29" w:rsidRPr="00473F85" w:rsidRDefault="00846B29" w:rsidP="00846B29">
      <w:pPr>
        <w:pStyle w:val="NormalWeb"/>
        <w:tabs>
          <w:tab w:val="left" w:pos="3600"/>
        </w:tabs>
        <w:ind w:left="1440"/>
        <w:rPr>
          <w:sz w:val="20"/>
          <w:szCs w:val="20"/>
        </w:rPr>
      </w:pPr>
      <w:r w:rsidRPr="00473F85">
        <w:rPr>
          <w:sz w:val="20"/>
          <w:szCs w:val="20"/>
        </w:rPr>
        <w:t>Title</w:t>
      </w:r>
      <w:r w:rsidRPr="00473F85">
        <w:rPr>
          <w:sz w:val="20"/>
          <w:szCs w:val="20"/>
        </w:rPr>
        <w:tab/>
      </w:r>
      <w:r>
        <w:rPr>
          <w:sz w:val="20"/>
          <w:szCs w:val="20"/>
        </w:rPr>
        <w:tab/>
      </w:r>
      <w:r>
        <w:rPr>
          <w:sz w:val="20"/>
          <w:szCs w:val="20"/>
        </w:rPr>
        <w:tab/>
      </w:r>
      <w:r>
        <w:rPr>
          <w:sz w:val="20"/>
          <w:szCs w:val="20"/>
        </w:rPr>
        <w:tab/>
      </w:r>
      <w:r>
        <w:rPr>
          <w:sz w:val="20"/>
          <w:szCs w:val="20"/>
        </w:rPr>
        <w:tab/>
      </w:r>
      <w:r w:rsidRPr="00473F85">
        <w:rPr>
          <w:sz w:val="20"/>
          <w:szCs w:val="20"/>
        </w:rPr>
        <w:t xml:space="preserve">Subject </w:t>
      </w:r>
    </w:p>
    <w:p w14:paraId="0697CE75" w14:textId="77777777" w:rsidR="00846B29" w:rsidRPr="009637D0" w:rsidRDefault="00846B29" w:rsidP="00846B29">
      <w:pPr>
        <w:pStyle w:val="NormalWeb"/>
        <w:spacing w:before="0" w:beforeAutospacing="0"/>
        <w:rPr>
          <w:sz w:val="20"/>
          <w:szCs w:val="20"/>
        </w:rPr>
      </w:pPr>
      <w:r w:rsidRPr="009637D0">
        <w:rPr>
          <w:sz w:val="20"/>
          <w:szCs w:val="20"/>
        </w:rPr>
        <w:t>a)</w:t>
      </w:r>
      <w:r w:rsidRPr="009637D0">
        <w:rPr>
          <w:sz w:val="20"/>
          <w:szCs w:val="20"/>
        </w:rPr>
        <w:tab/>
        <w:t>Provider Agreement</w:t>
      </w:r>
      <w:r w:rsidRPr="009637D0">
        <w:rPr>
          <w:sz w:val="20"/>
          <w:szCs w:val="20"/>
        </w:rPr>
        <w:tab/>
      </w:r>
      <w:r w:rsidRPr="009637D0">
        <w:rPr>
          <w:sz w:val="20"/>
          <w:szCs w:val="20"/>
        </w:rPr>
        <w:tab/>
      </w:r>
      <w:r w:rsidRPr="009637D0">
        <w:rPr>
          <w:sz w:val="20"/>
          <w:szCs w:val="20"/>
        </w:rPr>
        <w:tab/>
      </w:r>
      <w:r w:rsidRPr="009637D0">
        <w:rPr>
          <w:sz w:val="20"/>
          <w:szCs w:val="20"/>
        </w:rPr>
        <w:tab/>
      </w:r>
      <w:r w:rsidRPr="009637D0">
        <w:rPr>
          <w:sz w:val="20"/>
          <w:szCs w:val="20"/>
        </w:rPr>
        <w:tab/>
      </w:r>
      <w:r w:rsidRPr="009637D0">
        <w:rPr>
          <w:sz w:val="20"/>
          <w:szCs w:val="20"/>
        </w:rPr>
        <w:tab/>
        <w:t>Terms of the contract</w:t>
      </w:r>
    </w:p>
    <w:p w14:paraId="61E9565E" w14:textId="44AC39BA" w:rsidR="00846B29" w:rsidRPr="009637D0" w:rsidRDefault="00846B29" w:rsidP="00846B29">
      <w:pPr>
        <w:pStyle w:val="NormalWeb"/>
        <w:spacing w:before="0" w:beforeAutospacing="0"/>
        <w:rPr>
          <w:sz w:val="20"/>
          <w:szCs w:val="20"/>
        </w:rPr>
      </w:pPr>
      <w:r w:rsidRPr="009637D0">
        <w:rPr>
          <w:sz w:val="20"/>
          <w:szCs w:val="20"/>
        </w:rPr>
        <w:t>b)</w:t>
      </w:r>
      <w:r w:rsidRPr="009637D0">
        <w:rPr>
          <w:sz w:val="20"/>
          <w:szCs w:val="20"/>
        </w:rPr>
        <w:tab/>
        <w:t>Compliance Addendum</w:t>
      </w:r>
      <w:r w:rsidRPr="009637D0">
        <w:rPr>
          <w:sz w:val="20"/>
          <w:szCs w:val="20"/>
        </w:rPr>
        <w:tab/>
      </w:r>
      <w:r w:rsidRPr="009637D0">
        <w:rPr>
          <w:sz w:val="20"/>
          <w:szCs w:val="20"/>
        </w:rPr>
        <w:tab/>
      </w:r>
      <w:r w:rsidRPr="009637D0">
        <w:rPr>
          <w:sz w:val="20"/>
          <w:szCs w:val="20"/>
        </w:rPr>
        <w:tab/>
      </w:r>
      <w:r w:rsidRPr="009637D0">
        <w:rPr>
          <w:sz w:val="20"/>
          <w:szCs w:val="20"/>
        </w:rPr>
        <w:tab/>
      </w:r>
      <w:r w:rsidRPr="009637D0">
        <w:rPr>
          <w:sz w:val="20"/>
          <w:szCs w:val="20"/>
        </w:rPr>
        <w:tab/>
        <w:t>Ohio Regulatory Language</w:t>
      </w:r>
      <w:r w:rsidRPr="009637D0">
        <w:rPr>
          <w:sz w:val="20"/>
          <w:szCs w:val="20"/>
        </w:rPr>
        <w:tab/>
      </w:r>
      <w:r w:rsidRPr="009637D0" w:rsidDel="009E0DC9">
        <w:rPr>
          <w:sz w:val="20"/>
          <w:szCs w:val="20"/>
        </w:rPr>
        <w:t xml:space="preserve"> </w:t>
      </w:r>
    </w:p>
    <w:p w14:paraId="4FA32E5D" w14:textId="095A4865" w:rsidR="00846B29" w:rsidRPr="009637D0" w:rsidRDefault="001C0C13" w:rsidP="00846B29">
      <w:pPr>
        <w:pStyle w:val="NormalWeb"/>
        <w:spacing w:before="0" w:beforeAutospacing="0"/>
        <w:rPr>
          <w:sz w:val="20"/>
          <w:szCs w:val="20"/>
        </w:rPr>
      </w:pPr>
      <w:r w:rsidRPr="009637D0">
        <w:rPr>
          <w:sz w:val="20"/>
          <w:szCs w:val="20"/>
        </w:rPr>
        <w:t>c</w:t>
      </w:r>
      <w:r w:rsidR="00846B29" w:rsidRPr="009637D0">
        <w:rPr>
          <w:sz w:val="20"/>
          <w:szCs w:val="20"/>
        </w:rPr>
        <w:t>)</w:t>
      </w:r>
      <w:r w:rsidR="00846B29" w:rsidRPr="009637D0">
        <w:rPr>
          <w:sz w:val="20"/>
          <w:szCs w:val="20"/>
        </w:rPr>
        <w:tab/>
        <w:t>Services and Rate Schedule</w:t>
      </w:r>
      <w:r w:rsidR="00846B29" w:rsidRPr="009637D0">
        <w:rPr>
          <w:sz w:val="20"/>
          <w:szCs w:val="20"/>
        </w:rPr>
        <w:tab/>
      </w:r>
      <w:r w:rsidR="002838B0" w:rsidRPr="009637D0">
        <w:rPr>
          <w:sz w:val="20"/>
          <w:szCs w:val="20"/>
        </w:rPr>
        <w:tab/>
      </w:r>
      <w:r w:rsidR="002838B0" w:rsidRPr="009637D0">
        <w:rPr>
          <w:sz w:val="20"/>
          <w:szCs w:val="20"/>
        </w:rPr>
        <w:tab/>
      </w:r>
      <w:r w:rsidR="002838B0" w:rsidRPr="009637D0">
        <w:rPr>
          <w:sz w:val="20"/>
          <w:szCs w:val="20"/>
        </w:rPr>
        <w:tab/>
      </w:r>
      <w:r w:rsidR="002838B0" w:rsidRPr="009637D0">
        <w:rPr>
          <w:sz w:val="20"/>
          <w:szCs w:val="20"/>
        </w:rPr>
        <w:tab/>
      </w:r>
      <w:r w:rsidR="00846B29" w:rsidRPr="009637D0">
        <w:rPr>
          <w:sz w:val="20"/>
          <w:szCs w:val="20"/>
        </w:rPr>
        <w:t xml:space="preserve">Compensation </w:t>
      </w:r>
    </w:p>
    <w:p w14:paraId="385266C7" w14:textId="3005C414" w:rsidR="00846B29" w:rsidRPr="009637D0" w:rsidRDefault="001C0C13" w:rsidP="00846B29">
      <w:pPr>
        <w:tabs>
          <w:tab w:val="left" w:pos="576"/>
          <w:tab w:val="left" w:pos="720"/>
          <w:tab w:val="left" w:pos="1440"/>
          <w:tab w:val="left" w:pos="2160"/>
          <w:tab w:val="left" w:pos="2880"/>
          <w:tab w:val="left" w:pos="3600"/>
          <w:tab w:val="left" w:leader="underscore" w:pos="7200"/>
        </w:tabs>
      </w:pPr>
      <w:r w:rsidRPr="009637D0">
        <w:t>d</w:t>
      </w:r>
      <w:r w:rsidR="00846B29" w:rsidRPr="009637D0">
        <w:t>)</w:t>
      </w:r>
      <w:r w:rsidR="00846B29" w:rsidRPr="009637D0">
        <w:tab/>
        <w:t>Service and Pay to Location Form</w:t>
      </w:r>
      <w:r w:rsidR="00846B29" w:rsidRPr="009637D0">
        <w:tab/>
        <w:t xml:space="preserve">                               Location of Physician </w:t>
      </w:r>
    </w:p>
    <w:p w14:paraId="7406DF75" w14:textId="68400503" w:rsidR="00846B29" w:rsidRPr="009637D0" w:rsidRDefault="001C0C13" w:rsidP="00846B29">
      <w:pPr>
        <w:tabs>
          <w:tab w:val="left" w:pos="576"/>
          <w:tab w:val="left" w:pos="720"/>
          <w:tab w:val="left" w:pos="1440"/>
          <w:tab w:val="left" w:pos="2160"/>
          <w:tab w:val="left" w:pos="2880"/>
          <w:tab w:val="left" w:pos="3600"/>
          <w:tab w:val="left" w:leader="underscore" w:pos="7200"/>
        </w:tabs>
      </w:pPr>
      <w:r w:rsidRPr="009637D0">
        <w:t>e</w:t>
      </w:r>
      <w:r w:rsidR="00846B29" w:rsidRPr="009637D0">
        <w:t>)</w:t>
      </w:r>
      <w:r w:rsidR="00846B29" w:rsidRPr="009637D0">
        <w:tab/>
        <w:t>Summary Disclosure Form</w:t>
      </w:r>
      <w:r w:rsidR="00846B29" w:rsidRPr="009637D0">
        <w:tab/>
        <w:t xml:space="preserve">                                               Summary</w:t>
      </w:r>
    </w:p>
    <w:p w14:paraId="46B77587" w14:textId="7A36CBCF" w:rsidR="000B66F4" w:rsidRPr="009637D0" w:rsidRDefault="000B66F4" w:rsidP="009626F0">
      <w:pPr>
        <w:tabs>
          <w:tab w:val="left" w:pos="720"/>
          <w:tab w:val="left" w:pos="1440"/>
          <w:tab w:val="left" w:pos="2160"/>
          <w:tab w:val="left" w:pos="2880"/>
          <w:tab w:val="left" w:pos="3600"/>
          <w:tab w:val="left" w:leader="underscore" w:pos="7200"/>
        </w:tabs>
      </w:pPr>
    </w:p>
    <w:p w14:paraId="2335C96C" w14:textId="2E3C6CC2" w:rsidR="001C0C13" w:rsidRDefault="001C0C13" w:rsidP="009626F0">
      <w:pPr>
        <w:tabs>
          <w:tab w:val="left" w:pos="720"/>
          <w:tab w:val="left" w:pos="1440"/>
          <w:tab w:val="left" w:pos="2160"/>
          <w:tab w:val="left" w:pos="2880"/>
          <w:tab w:val="left" w:pos="3600"/>
          <w:tab w:val="left" w:leader="underscore" w:pos="7200"/>
        </w:tabs>
      </w:pPr>
      <w:r w:rsidRPr="009637D0">
        <w:t>LIST OTHER ADDENDA REQUIRED FOR THIS PRODUCT OR MEDICAID COMPLIANCE</w:t>
      </w:r>
    </w:p>
    <w:sectPr w:rsidR="001C0C13" w:rsidSect="005B04D4">
      <w:footerReference w:type="even" r:id="rId10"/>
      <w:footerReference w:type="default" r:id="rId11"/>
      <w:pgSz w:w="12240" w:h="15840" w:code="1"/>
      <w:pgMar w:top="835" w:right="1080" w:bottom="835"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828D8" w14:textId="77777777" w:rsidR="00450772" w:rsidRDefault="00450772">
      <w:r>
        <w:separator/>
      </w:r>
    </w:p>
  </w:endnote>
  <w:endnote w:type="continuationSeparator" w:id="0">
    <w:p w14:paraId="07974B3C" w14:textId="77777777" w:rsidR="00450772" w:rsidRDefault="00450772">
      <w:r>
        <w:continuationSeparator/>
      </w:r>
    </w:p>
  </w:endnote>
  <w:endnote w:type="continuationNotice" w:id="1">
    <w:p w14:paraId="4A6CBC50" w14:textId="77777777" w:rsidR="00450772" w:rsidRDefault="00450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AB2A2" w14:textId="77777777" w:rsidR="006505A7" w:rsidRDefault="006505A7" w:rsidP="006505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B3D21B" w14:textId="77777777" w:rsidR="006505A7" w:rsidRDefault="00650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D5218" w14:textId="640AEF45" w:rsidR="006505A7" w:rsidRDefault="00942F34" w:rsidP="006505A7">
    <w:pPr>
      <w:pStyle w:val="Footer"/>
      <w:framePr w:wrap="around" w:vAnchor="text" w:hAnchor="margin" w:xAlign="center" w:y="1"/>
      <w:rPr>
        <w:rStyle w:val="PageNumber"/>
      </w:rPr>
    </w:pPr>
    <w:r>
      <w:rPr>
        <w:noProof/>
      </w:rPr>
      <mc:AlternateContent>
        <mc:Choice Requires="wps">
          <w:drawing>
            <wp:anchor distT="0" distB="0" distL="114300" distR="114300" simplePos="0" relativeHeight="251659264" behindDoc="0" locked="0" layoutInCell="0" allowOverlap="1" wp14:anchorId="128A0675" wp14:editId="278F3233">
              <wp:simplePos x="0" y="0"/>
              <wp:positionH relativeFrom="page">
                <wp:posOffset>0</wp:posOffset>
              </wp:positionH>
              <wp:positionV relativeFrom="page">
                <wp:posOffset>9601200</wp:posOffset>
              </wp:positionV>
              <wp:extent cx="7772400" cy="266700"/>
              <wp:effectExtent l="0" t="0" r="0" b="0"/>
              <wp:wrapNone/>
              <wp:docPr id="1" name="MSIPCM162447a9b134225ee7537b31" descr="{&quot;HashCode&quot;:-35625467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F071A6" w14:textId="5A222032" w:rsidR="00942F34" w:rsidRPr="00942F34" w:rsidRDefault="00942F34" w:rsidP="00942F34">
                          <w:pPr>
                            <w:rPr>
                              <w:rFonts w:ascii="Calibri" w:hAnsi="Calibri" w:cs="Calibri"/>
                              <w:color w:val="414141"/>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8A0675" id="_x0000_t202" coordsize="21600,21600" o:spt="202" path="m,l,21600r21600,l21600,xe">
              <v:stroke joinstyle="miter"/>
              <v:path gradientshapeok="t" o:connecttype="rect"/>
            </v:shapetype>
            <v:shape id="MSIPCM162447a9b134225ee7537b31" o:spid="_x0000_s1026" type="#_x0000_t202" alt="{&quot;HashCode&quot;:-35625467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CupGjCwAgAARwUAAA4AAAAA&#10;AAAAAAAAAAAALgIAAGRycy9lMm9Eb2MueG1sUEsBAi0AFAAGAAgAAAAhALtA7THcAAAACwEAAA8A&#10;AAAAAAAAAAAAAAAACgUAAGRycy9kb3ducmV2LnhtbFBLBQYAAAAABAAEAPMAAAATBgAAAAA=&#10;" o:allowincell="f" filled="f" stroked="f" strokeweight=".5pt">
              <v:textbox inset="20pt,0,,0">
                <w:txbxContent>
                  <w:p w14:paraId="5CF071A6" w14:textId="5A222032" w:rsidR="00942F34" w:rsidRPr="00942F34" w:rsidRDefault="00942F34" w:rsidP="00942F34">
                    <w:pPr>
                      <w:rPr>
                        <w:rFonts w:ascii="Calibri" w:hAnsi="Calibri" w:cs="Calibri"/>
                        <w:color w:val="414141"/>
                        <w:sz w:val="16"/>
                      </w:rPr>
                    </w:pPr>
                  </w:p>
                </w:txbxContent>
              </v:textbox>
              <w10:wrap anchorx="page" anchory="page"/>
            </v:shape>
          </w:pict>
        </mc:Fallback>
      </mc:AlternateContent>
    </w:r>
    <w:r w:rsidR="006505A7">
      <w:rPr>
        <w:rStyle w:val="PageNumber"/>
      </w:rPr>
      <w:fldChar w:fldCharType="begin"/>
    </w:r>
    <w:r w:rsidR="006505A7">
      <w:rPr>
        <w:rStyle w:val="PageNumber"/>
      </w:rPr>
      <w:instrText xml:space="preserve">PAGE  </w:instrText>
    </w:r>
    <w:r w:rsidR="006505A7">
      <w:rPr>
        <w:rStyle w:val="PageNumber"/>
      </w:rPr>
      <w:fldChar w:fldCharType="separate"/>
    </w:r>
    <w:r w:rsidR="00B522B8">
      <w:rPr>
        <w:rStyle w:val="PageNumber"/>
        <w:noProof/>
      </w:rPr>
      <w:t>1</w:t>
    </w:r>
    <w:r w:rsidR="006505A7">
      <w:rPr>
        <w:rStyle w:val="PageNumber"/>
      </w:rPr>
      <w:fldChar w:fldCharType="end"/>
    </w:r>
  </w:p>
  <w:p w14:paraId="68735D00" w14:textId="77777777" w:rsidR="002F4C72" w:rsidRDefault="007C0A96" w:rsidP="006479E2">
    <w:pPr>
      <w:pStyle w:val="Footer"/>
      <w:rPr>
        <w:sz w:val="18"/>
      </w:rPr>
    </w:pPr>
    <w:proofErr w:type="gramStart"/>
    <w:r>
      <w:rPr>
        <w:sz w:val="18"/>
      </w:rPr>
      <w:t>OH</w:t>
    </w:r>
    <w:proofErr w:type="gramEnd"/>
    <w:r>
      <w:rPr>
        <w:sz w:val="18"/>
      </w:rPr>
      <w:t xml:space="preserve"> Provider Compliance Addendum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14E69" w14:textId="77777777" w:rsidR="00450772" w:rsidRDefault="00450772">
      <w:r>
        <w:separator/>
      </w:r>
    </w:p>
  </w:footnote>
  <w:footnote w:type="continuationSeparator" w:id="0">
    <w:p w14:paraId="07D94F70" w14:textId="77777777" w:rsidR="00450772" w:rsidRDefault="00450772">
      <w:r>
        <w:continuationSeparator/>
      </w:r>
    </w:p>
  </w:footnote>
  <w:footnote w:type="continuationNotice" w:id="1">
    <w:p w14:paraId="5F374F06" w14:textId="77777777" w:rsidR="00450772" w:rsidRDefault="004507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12C2"/>
    <w:multiLevelType w:val="hybridMultilevel"/>
    <w:tmpl w:val="E50E0214"/>
    <w:lvl w:ilvl="0" w:tplc="020E2DD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C707F1D"/>
    <w:multiLevelType w:val="multilevel"/>
    <w:tmpl w:val="8F8A33B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022C8"/>
    <w:rsid w:val="000075C4"/>
    <w:rsid w:val="00025DC7"/>
    <w:rsid w:val="00047412"/>
    <w:rsid w:val="00056A8E"/>
    <w:rsid w:val="00072F65"/>
    <w:rsid w:val="00087F22"/>
    <w:rsid w:val="000A6473"/>
    <w:rsid w:val="000A6BD6"/>
    <w:rsid w:val="000B66F4"/>
    <w:rsid w:val="000D3D2F"/>
    <w:rsid w:val="00106972"/>
    <w:rsid w:val="00111D0D"/>
    <w:rsid w:val="001158E4"/>
    <w:rsid w:val="00121F2E"/>
    <w:rsid w:val="00126BEB"/>
    <w:rsid w:val="00147F77"/>
    <w:rsid w:val="00163F6F"/>
    <w:rsid w:val="00164885"/>
    <w:rsid w:val="00174C8A"/>
    <w:rsid w:val="00181163"/>
    <w:rsid w:val="001842CB"/>
    <w:rsid w:val="001A0018"/>
    <w:rsid w:val="001A04A2"/>
    <w:rsid w:val="001A755E"/>
    <w:rsid w:val="001B21BD"/>
    <w:rsid w:val="001B5D43"/>
    <w:rsid w:val="001C060E"/>
    <w:rsid w:val="001C0C13"/>
    <w:rsid w:val="001C7967"/>
    <w:rsid w:val="001D532F"/>
    <w:rsid w:val="001D53F1"/>
    <w:rsid w:val="001E377E"/>
    <w:rsid w:val="001E662A"/>
    <w:rsid w:val="001E775F"/>
    <w:rsid w:val="00201CDD"/>
    <w:rsid w:val="00205CED"/>
    <w:rsid w:val="0022460D"/>
    <w:rsid w:val="00233F1E"/>
    <w:rsid w:val="00236277"/>
    <w:rsid w:val="0024536C"/>
    <w:rsid w:val="00265F68"/>
    <w:rsid w:val="00283850"/>
    <w:rsid w:val="002838B0"/>
    <w:rsid w:val="002A302B"/>
    <w:rsid w:val="002C1FC5"/>
    <w:rsid w:val="002C5446"/>
    <w:rsid w:val="002E3447"/>
    <w:rsid w:val="002F4C72"/>
    <w:rsid w:val="00323FB1"/>
    <w:rsid w:val="00325E20"/>
    <w:rsid w:val="00341F83"/>
    <w:rsid w:val="0034385F"/>
    <w:rsid w:val="00343E6F"/>
    <w:rsid w:val="003507A1"/>
    <w:rsid w:val="003774A4"/>
    <w:rsid w:val="003777CD"/>
    <w:rsid w:val="00396517"/>
    <w:rsid w:val="00397AC6"/>
    <w:rsid w:val="003B29FB"/>
    <w:rsid w:val="003B3666"/>
    <w:rsid w:val="003B6226"/>
    <w:rsid w:val="003C00EF"/>
    <w:rsid w:val="003D60A7"/>
    <w:rsid w:val="003D722B"/>
    <w:rsid w:val="0040549C"/>
    <w:rsid w:val="00410E03"/>
    <w:rsid w:val="004210ED"/>
    <w:rsid w:val="00430267"/>
    <w:rsid w:val="00433613"/>
    <w:rsid w:val="0044425F"/>
    <w:rsid w:val="00450772"/>
    <w:rsid w:val="00454BEE"/>
    <w:rsid w:val="004612C7"/>
    <w:rsid w:val="00475362"/>
    <w:rsid w:val="004822EC"/>
    <w:rsid w:val="00486D9E"/>
    <w:rsid w:val="0049352E"/>
    <w:rsid w:val="004935AF"/>
    <w:rsid w:val="004B4C92"/>
    <w:rsid w:val="004C02CA"/>
    <w:rsid w:val="004C45F6"/>
    <w:rsid w:val="004C70D1"/>
    <w:rsid w:val="004D17E0"/>
    <w:rsid w:val="004F5BE3"/>
    <w:rsid w:val="00504EE5"/>
    <w:rsid w:val="005202C9"/>
    <w:rsid w:val="005239B6"/>
    <w:rsid w:val="00533714"/>
    <w:rsid w:val="00535795"/>
    <w:rsid w:val="00540D32"/>
    <w:rsid w:val="00542A5B"/>
    <w:rsid w:val="00553BDE"/>
    <w:rsid w:val="005628B5"/>
    <w:rsid w:val="00565272"/>
    <w:rsid w:val="005764CD"/>
    <w:rsid w:val="0057692C"/>
    <w:rsid w:val="00581755"/>
    <w:rsid w:val="00585126"/>
    <w:rsid w:val="005B04D4"/>
    <w:rsid w:val="005B29C8"/>
    <w:rsid w:val="005C5BA9"/>
    <w:rsid w:val="005E493A"/>
    <w:rsid w:val="005F374B"/>
    <w:rsid w:val="00601ECC"/>
    <w:rsid w:val="00611C8E"/>
    <w:rsid w:val="0061503A"/>
    <w:rsid w:val="00620B20"/>
    <w:rsid w:val="00624546"/>
    <w:rsid w:val="00624E0C"/>
    <w:rsid w:val="00633D83"/>
    <w:rsid w:val="00637319"/>
    <w:rsid w:val="006443B0"/>
    <w:rsid w:val="006479E2"/>
    <w:rsid w:val="006505A7"/>
    <w:rsid w:val="00651E31"/>
    <w:rsid w:val="006536AD"/>
    <w:rsid w:val="00654872"/>
    <w:rsid w:val="006618A1"/>
    <w:rsid w:val="00663FE8"/>
    <w:rsid w:val="0068668C"/>
    <w:rsid w:val="00686E26"/>
    <w:rsid w:val="006A48A9"/>
    <w:rsid w:val="006A5F67"/>
    <w:rsid w:val="006B6EE7"/>
    <w:rsid w:val="006E1039"/>
    <w:rsid w:val="006E6056"/>
    <w:rsid w:val="006F4EB2"/>
    <w:rsid w:val="00700B23"/>
    <w:rsid w:val="00715D56"/>
    <w:rsid w:val="00733502"/>
    <w:rsid w:val="00733B6D"/>
    <w:rsid w:val="007344B2"/>
    <w:rsid w:val="007443C0"/>
    <w:rsid w:val="00750F6E"/>
    <w:rsid w:val="0075452C"/>
    <w:rsid w:val="00762A48"/>
    <w:rsid w:val="0077208B"/>
    <w:rsid w:val="00784F8F"/>
    <w:rsid w:val="007915C9"/>
    <w:rsid w:val="007A29CD"/>
    <w:rsid w:val="007B0D83"/>
    <w:rsid w:val="007B27CA"/>
    <w:rsid w:val="007B37D3"/>
    <w:rsid w:val="007C0A96"/>
    <w:rsid w:val="007C3629"/>
    <w:rsid w:val="007D05F2"/>
    <w:rsid w:val="007D2E83"/>
    <w:rsid w:val="007E170A"/>
    <w:rsid w:val="007E66CF"/>
    <w:rsid w:val="007F319B"/>
    <w:rsid w:val="00803926"/>
    <w:rsid w:val="00804A2A"/>
    <w:rsid w:val="008440BD"/>
    <w:rsid w:val="00846B29"/>
    <w:rsid w:val="00870631"/>
    <w:rsid w:val="00872876"/>
    <w:rsid w:val="00873243"/>
    <w:rsid w:val="00877A11"/>
    <w:rsid w:val="00883824"/>
    <w:rsid w:val="0088667D"/>
    <w:rsid w:val="00887BA1"/>
    <w:rsid w:val="00892D21"/>
    <w:rsid w:val="008A4026"/>
    <w:rsid w:val="008B0BC3"/>
    <w:rsid w:val="008B2B9B"/>
    <w:rsid w:val="008C0A67"/>
    <w:rsid w:val="008D2790"/>
    <w:rsid w:val="008D3F83"/>
    <w:rsid w:val="008E1EE2"/>
    <w:rsid w:val="008F45EF"/>
    <w:rsid w:val="009265CD"/>
    <w:rsid w:val="009364CF"/>
    <w:rsid w:val="00942F34"/>
    <w:rsid w:val="009626F0"/>
    <w:rsid w:val="009637D0"/>
    <w:rsid w:val="00964673"/>
    <w:rsid w:val="0096754B"/>
    <w:rsid w:val="00972D07"/>
    <w:rsid w:val="0097550E"/>
    <w:rsid w:val="00980F49"/>
    <w:rsid w:val="009833F8"/>
    <w:rsid w:val="009855D3"/>
    <w:rsid w:val="00990982"/>
    <w:rsid w:val="009A2168"/>
    <w:rsid w:val="009C0DA7"/>
    <w:rsid w:val="009D294E"/>
    <w:rsid w:val="009D3C2F"/>
    <w:rsid w:val="009E5566"/>
    <w:rsid w:val="009F4914"/>
    <w:rsid w:val="00A10674"/>
    <w:rsid w:val="00A25C81"/>
    <w:rsid w:val="00A3185E"/>
    <w:rsid w:val="00A508F5"/>
    <w:rsid w:val="00A50C4D"/>
    <w:rsid w:val="00A5228C"/>
    <w:rsid w:val="00A549BF"/>
    <w:rsid w:val="00A5790E"/>
    <w:rsid w:val="00A57D47"/>
    <w:rsid w:val="00A87969"/>
    <w:rsid w:val="00A87E23"/>
    <w:rsid w:val="00A9436D"/>
    <w:rsid w:val="00AC1B18"/>
    <w:rsid w:val="00AC3081"/>
    <w:rsid w:val="00AC706B"/>
    <w:rsid w:val="00AD15DC"/>
    <w:rsid w:val="00AD6247"/>
    <w:rsid w:val="00AE4E67"/>
    <w:rsid w:val="00AF5122"/>
    <w:rsid w:val="00B12201"/>
    <w:rsid w:val="00B137E6"/>
    <w:rsid w:val="00B225A5"/>
    <w:rsid w:val="00B268C8"/>
    <w:rsid w:val="00B522B8"/>
    <w:rsid w:val="00B9064B"/>
    <w:rsid w:val="00B921A6"/>
    <w:rsid w:val="00BB57B3"/>
    <w:rsid w:val="00BC09E1"/>
    <w:rsid w:val="00BD3220"/>
    <w:rsid w:val="00BD5B5C"/>
    <w:rsid w:val="00BF690E"/>
    <w:rsid w:val="00C03840"/>
    <w:rsid w:val="00C12AC5"/>
    <w:rsid w:val="00C4677B"/>
    <w:rsid w:val="00C56F7E"/>
    <w:rsid w:val="00C70DBD"/>
    <w:rsid w:val="00C71195"/>
    <w:rsid w:val="00C7242B"/>
    <w:rsid w:val="00C76730"/>
    <w:rsid w:val="00C819C2"/>
    <w:rsid w:val="00C82A98"/>
    <w:rsid w:val="00C90B06"/>
    <w:rsid w:val="00CB48BE"/>
    <w:rsid w:val="00CC2EFE"/>
    <w:rsid w:val="00CC6301"/>
    <w:rsid w:val="00CD2183"/>
    <w:rsid w:val="00CD3CE0"/>
    <w:rsid w:val="00CD5525"/>
    <w:rsid w:val="00CE1127"/>
    <w:rsid w:val="00CE1FF3"/>
    <w:rsid w:val="00D00A81"/>
    <w:rsid w:val="00D022C8"/>
    <w:rsid w:val="00D02B8F"/>
    <w:rsid w:val="00D03A3B"/>
    <w:rsid w:val="00D0405E"/>
    <w:rsid w:val="00D149CE"/>
    <w:rsid w:val="00D165E0"/>
    <w:rsid w:val="00D41F89"/>
    <w:rsid w:val="00D60333"/>
    <w:rsid w:val="00D85DE0"/>
    <w:rsid w:val="00DA6FAC"/>
    <w:rsid w:val="00DB607C"/>
    <w:rsid w:val="00DC7508"/>
    <w:rsid w:val="00DE5F73"/>
    <w:rsid w:val="00E0117C"/>
    <w:rsid w:val="00E02A26"/>
    <w:rsid w:val="00E07CAE"/>
    <w:rsid w:val="00E10AC4"/>
    <w:rsid w:val="00E15AFF"/>
    <w:rsid w:val="00E2664F"/>
    <w:rsid w:val="00E33336"/>
    <w:rsid w:val="00E36700"/>
    <w:rsid w:val="00E52EB0"/>
    <w:rsid w:val="00E55092"/>
    <w:rsid w:val="00E71F09"/>
    <w:rsid w:val="00E84086"/>
    <w:rsid w:val="00E90707"/>
    <w:rsid w:val="00EA1E01"/>
    <w:rsid w:val="00EB12FC"/>
    <w:rsid w:val="00EB76EE"/>
    <w:rsid w:val="00EC7F9E"/>
    <w:rsid w:val="00EE1F8C"/>
    <w:rsid w:val="00EF54FC"/>
    <w:rsid w:val="00EF5728"/>
    <w:rsid w:val="00EF577C"/>
    <w:rsid w:val="00F01B4B"/>
    <w:rsid w:val="00F05D7A"/>
    <w:rsid w:val="00F36B7C"/>
    <w:rsid w:val="00F37C3B"/>
    <w:rsid w:val="00F52AD0"/>
    <w:rsid w:val="00F532EE"/>
    <w:rsid w:val="00F62A84"/>
    <w:rsid w:val="00F66EBE"/>
    <w:rsid w:val="00F73847"/>
    <w:rsid w:val="00F83B6C"/>
    <w:rsid w:val="00F91C69"/>
    <w:rsid w:val="00F97715"/>
    <w:rsid w:val="00FA4B0E"/>
    <w:rsid w:val="00FA595D"/>
    <w:rsid w:val="00FB0169"/>
    <w:rsid w:val="00FB1E51"/>
    <w:rsid w:val="00FB3101"/>
    <w:rsid w:val="00FE2E1A"/>
    <w:rsid w:val="00FF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4DFCF102"/>
  <w15:docId w15:val="{76F8FF73-48B6-4018-A184-FF71B349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b/>
      <w:kern w:val="28"/>
      <w:sz w:val="18"/>
    </w:rPr>
  </w:style>
  <w:style w:type="paragraph" w:styleId="Heading2">
    <w:name w:val="heading 2"/>
    <w:basedOn w:val="Normal"/>
    <w:next w:val="Normal"/>
    <w:link w:val="Heading2Char"/>
    <w:qFormat/>
    <w:pPr>
      <w:keepNext/>
      <w:outlineLvl w:val="1"/>
    </w:pPr>
    <w:rPr>
      <w:sz w:val="18"/>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480" w:lineRule="atLeast"/>
      <w:jc w:val="center"/>
    </w:pPr>
    <w:rPr>
      <w:b/>
      <w:u w:val="single"/>
    </w:rPr>
  </w:style>
  <w:style w:type="paragraph" w:customStyle="1" w:styleId="MA-BP">
    <w:name w:val="MA-BP"/>
    <w:basedOn w:val="Normal"/>
    <w:pPr>
      <w:tabs>
        <w:tab w:val="left" w:pos="547"/>
      </w:tabs>
      <w:ind w:left="547" w:hanging="547"/>
      <w:jc w:val="both"/>
    </w:pPr>
  </w:style>
  <w:style w:type="paragraph" w:customStyle="1" w:styleId="WC-BP">
    <w:name w:val="WC-BP"/>
    <w:basedOn w:val="Normal"/>
    <w:pPr>
      <w:tabs>
        <w:tab w:val="left" w:pos="547"/>
      </w:tabs>
      <w:ind w:left="547" w:hanging="547"/>
      <w:jc w:val="both"/>
    </w:pPr>
  </w:style>
  <w:style w:type="paragraph" w:customStyle="1" w:styleId="WC-BPBold">
    <w:name w:val="WC-BP Bold"/>
    <w:basedOn w:val="WC-BP"/>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SCH-BP">
    <w:name w:val="SCH-BP"/>
    <w:basedOn w:val="Normal"/>
    <w:pPr>
      <w:tabs>
        <w:tab w:val="left" w:pos="547"/>
      </w:tabs>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450"/>
      </w:tabs>
      <w:ind w:left="1080"/>
      <w:jc w:val="both"/>
    </w:pPr>
  </w:style>
  <w:style w:type="paragraph" w:styleId="BodyTextIndent2">
    <w:name w:val="Body Text Indent 2"/>
    <w:basedOn w:val="Normal"/>
    <w:pPr>
      <w:tabs>
        <w:tab w:val="left" w:pos="1440"/>
      </w:tabs>
      <w:ind w:left="1080" w:hanging="533"/>
      <w:jc w:val="both"/>
    </w:pPr>
    <w:rPr>
      <w:sz w:val="18"/>
    </w:rPr>
  </w:style>
  <w:style w:type="paragraph" w:styleId="BodyTextIndent3">
    <w:name w:val="Body Text Indent 3"/>
    <w:basedOn w:val="Normal"/>
    <w:pPr>
      <w:ind w:left="1123" w:hanging="576"/>
      <w:jc w:val="both"/>
    </w:pPr>
    <w:rPr>
      <w:sz w:val="18"/>
    </w:rPr>
  </w:style>
  <w:style w:type="character" w:styleId="CommentReference">
    <w:name w:val="annotation reference"/>
    <w:semiHidden/>
    <w:rPr>
      <w:sz w:val="16"/>
    </w:rPr>
  </w:style>
  <w:style w:type="character" w:styleId="Hyperlink">
    <w:name w:val="Hyperlink"/>
    <w:rPr>
      <w:color w:val="0000FF"/>
      <w:u w:val="single"/>
    </w:rPr>
  </w:style>
  <w:style w:type="paragraph" w:styleId="CommentText">
    <w:name w:val="annotation text"/>
    <w:basedOn w:val="Normal"/>
    <w:link w:val="CommentTextChar"/>
    <w:semiHidden/>
    <w:rPr>
      <w:rFonts w:ascii="Tms Rmn" w:hAnsi="Tms Rmn"/>
    </w:rPr>
  </w:style>
  <w:style w:type="paragraph" w:styleId="TOC1">
    <w:name w:val="toc 1"/>
    <w:basedOn w:val="Normal"/>
    <w:next w:val="Normal"/>
    <w:autoRedefine/>
    <w:semiHidden/>
    <w:pPr>
      <w:tabs>
        <w:tab w:val="left" w:pos="540"/>
        <w:tab w:val="left" w:pos="600"/>
        <w:tab w:val="right" w:leader="dot" w:pos="9350"/>
      </w:tabs>
      <w:spacing w:before="120" w:after="120"/>
    </w:pPr>
    <w:rPr>
      <w:b/>
      <w:caps/>
      <w:noProof/>
      <w:sz w:val="18"/>
    </w:rPr>
  </w:style>
  <w:style w:type="paragraph" w:styleId="TOC2">
    <w:name w:val="toc 2"/>
    <w:basedOn w:val="Normal"/>
    <w:next w:val="Normal"/>
    <w:autoRedefine/>
    <w:semiHidden/>
    <w:pPr>
      <w:tabs>
        <w:tab w:val="left" w:pos="810"/>
        <w:tab w:val="right" w:leader="dot" w:pos="9350"/>
      </w:tabs>
      <w:ind w:left="200"/>
    </w:pPr>
    <w:rPr>
      <w:smallCaps/>
      <w:noProof/>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
    <w:name w:val="Body Text"/>
    <w:basedOn w:val="Normal"/>
    <w:rPr>
      <w:sz w:val="18"/>
    </w:rPr>
  </w:style>
  <w:style w:type="paragraph" w:styleId="BodyText2">
    <w:name w:val="Body Text 2"/>
    <w:basedOn w:val="Normal"/>
    <w:pPr>
      <w:tabs>
        <w:tab w:val="left" w:pos="540"/>
        <w:tab w:val="left" w:pos="1440"/>
        <w:tab w:val="left" w:pos="2160"/>
        <w:tab w:val="left" w:pos="2880"/>
      </w:tabs>
      <w:jc w:val="both"/>
    </w:pPr>
    <w:rPr>
      <w:sz w:val="18"/>
    </w:rPr>
  </w:style>
  <w:style w:type="paragraph" w:styleId="Subtitle">
    <w:name w:val="Subtitle"/>
    <w:basedOn w:val="Normal"/>
    <w:qFormat/>
    <w:pPr>
      <w:jc w:val="center"/>
    </w:pPr>
    <w:rPr>
      <w:b/>
      <w:sz w:val="36"/>
    </w:rPr>
  </w:style>
  <w:style w:type="paragraph" w:styleId="BodyText3">
    <w:name w:val="Body Text 3"/>
    <w:basedOn w:val="Normal"/>
    <w:rPr>
      <w:color w:val="0000FF"/>
    </w:rPr>
  </w:style>
  <w:style w:type="paragraph" w:styleId="DocumentMap">
    <w:name w:val="Document Map"/>
    <w:basedOn w:val="Normal"/>
    <w:semiHidden/>
    <w:rsid w:val="00BB57B3"/>
    <w:pPr>
      <w:shd w:val="clear" w:color="auto" w:fill="000080"/>
    </w:pPr>
    <w:rPr>
      <w:rFonts w:ascii="Tahoma" w:hAnsi="Tahoma" w:cs="Tahoma"/>
    </w:rPr>
  </w:style>
  <w:style w:type="paragraph" w:styleId="BalloonText">
    <w:name w:val="Balloon Text"/>
    <w:basedOn w:val="Normal"/>
    <w:semiHidden/>
    <w:rsid w:val="00A57D47"/>
    <w:rPr>
      <w:rFonts w:ascii="Tahoma" w:hAnsi="Tahoma" w:cs="Tahoma"/>
      <w:sz w:val="16"/>
      <w:szCs w:val="16"/>
    </w:rPr>
  </w:style>
  <w:style w:type="character" w:styleId="Strong">
    <w:name w:val="Strong"/>
    <w:qFormat/>
    <w:rsid w:val="004935AF"/>
    <w:rPr>
      <w:b/>
      <w:bCs/>
    </w:rPr>
  </w:style>
  <w:style w:type="paragraph" w:customStyle="1" w:styleId="WE-38NOHang">
    <w:name w:val="WE-.38 NO Hang"/>
    <w:basedOn w:val="Normal"/>
    <w:rsid w:val="00283850"/>
    <w:pPr>
      <w:ind w:left="547"/>
      <w:jc w:val="both"/>
    </w:pPr>
  </w:style>
  <w:style w:type="paragraph" w:customStyle="1" w:styleId="WC-38Hang">
    <w:name w:val="WC-.38 Hang"/>
    <w:basedOn w:val="Normal"/>
    <w:rsid w:val="00283850"/>
    <w:pPr>
      <w:widowControl w:val="0"/>
      <w:tabs>
        <w:tab w:val="left" w:pos="547"/>
      </w:tabs>
      <w:ind w:left="1094" w:hanging="547"/>
      <w:jc w:val="both"/>
    </w:pPr>
  </w:style>
  <w:style w:type="character" w:customStyle="1" w:styleId="documentbody1">
    <w:name w:val="documentbody1"/>
    <w:rsid w:val="00283850"/>
    <w:rPr>
      <w:rFonts w:ascii="Verdana" w:hAnsi="Verdana" w:hint="default"/>
      <w:sz w:val="19"/>
      <w:szCs w:val="19"/>
    </w:rPr>
  </w:style>
  <w:style w:type="paragraph" w:styleId="NormalWeb">
    <w:name w:val="Normal (Web)"/>
    <w:basedOn w:val="Normal"/>
    <w:rsid w:val="00283850"/>
    <w:pPr>
      <w:spacing w:before="100" w:beforeAutospacing="1" w:after="100" w:afterAutospacing="1"/>
    </w:pPr>
    <w:rPr>
      <w:sz w:val="24"/>
      <w:szCs w:val="24"/>
    </w:rPr>
  </w:style>
  <w:style w:type="character" w:customStyle="1" w:styleId="Heading2Char">
    <w:name w:val="Heading 2 Char"/>
    <w:link w:val="Heading2"/>
    <w:rsid w:val="000D3D2F"/>
    <w:rPr>
      <w:sz w:val="18"/>
      <w:lang w:val="en-US" w:eastAsia="en-US" w:bidi="ar-SA"/>
    </w:rPr>
  </w:style>
  <w:style w:type="paragraph" w:styleId="CommentSubject">
    <w:name w:val="annotation subject"/>
    <w:basedOn w:val="CommentText"/>
    <w:next w:val="CommentText"/>
    <w:link w:val="CommentSubjectChar"/>
    <w:semiHidden/>
    <w:unhideWhenUsed/>
    <w:rsid w:val="001C0C13"/>
    <w:rPr>
      <w:rFonts w:ascii="Times New Roman" w:hAnsi="Times New Roman"/>
      <w:b/>
      <w:bCs/>
    </w:rPr>
  </w:style>
  <w:style w:type="character" w:customStyle="1" w:styleId="CommentTextChar">
    <w:name w:val="Comment Text Char"/>
    <w:basedOn w:val="DefaultParagraphFont"/>
    <w:link w:val="CommentText"/>
    <w:semiHidden/>
    <w:rsid w:val="001C0C13"/>
    <w:rPr>
      <w:rFonts w:ascii="Tms Rmn" w:hAnsi="Tms Rmn"/>
    </w:rPr>
  </w:style>
  <w:style w:type="character" w:customStyle="1" w:styleId="CommentSubjectChar">
    <w:name w:val="Comment Subject Char"/>
    <w:basedOn w:val="CommentTextChar"/>
    <w:link w:val="CommentSubject"/>
    <w:semiHidden/>
    <w:rsid w:val="001C0C13"/>
    <w:rPr>
      <w:rFonts w:ascii="Tms Rmn" w:hAnsi="Tms Rm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12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directprovid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etn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et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HOSPITAL SERVICES AGREEMENT</vt:lpstr>
    </vt:vector>
  </TitlesOfParts>
  <Company>Aetna Inc.</Company>
  <LinksUpToDate>false</LinksUpToDate>
  <CharactersWithSpaces>6044</CharactersWithSpaces>
  <SharedDoc>false</SharedDoc>
  <HLinks>
    <vt:vector size="18" baseType="variant">
      <vt:variant>
        <vt:i4>5308442</vt:i4>
      </vt:variant>
      <vt:variant>
        <vt:i4>6</vt:i4>
      </vt:variant>
      <vt:variant>
        <vt:i4>0</vt:i4>
      </vt:variant>
      <vt:variant>
        <vt:i4>5</vt:i4>
      </vt:variant>
      <vt:variant>
        <vt:lpwstr>http://www.aetna.com/</vt:lpwstr>
      </vt:variant>
      <vt:variant>
        <vt:lpwstr/>
      </vt:variant>
      <vt:variant>
        <vt:i4>2293812</vt:i4>
      </vt:variant>
      <vt:variant>
        <vt:i4>3</vt:i4>
      </vt:variant>
      <vt:variant>
        <vt:i4>0</vt:i4>
      </vt:variant>
      <vt:variant>
        <vt:i4>5</vt:i4>
      </vt:variant>
      <vt:variant>
        <vt:lpwstr>http://www.directprovider.com/</vt:lpwstr>
      </vt:variant>
      <vt:variant>
        <vt:lpwstr/>
      </vt:variant>
      <vt:variant>
        <vt:i4>5308442</vt:i4>
      </vt:variant>
      <vt:variant>
        <vt:i4>0</vt:i4>
      </vt:variant>
      <vt:variant>
        <vt:i4>0</vt:i4>
      </vt:variant>
      <vt:variant>
        <vt:i4>5</vt:i4>
      </vt:variant>
      <vt:variant>
        <vt:lpwstr>http://www.aetna.com/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SERVICES AGREEMENT</dc:title>
  <dc:creator>Ilene S Stella</dc:creator>
  <cp:lastModifiedBy>Girgenti, Anthony</cp:lastModifiedBy>
  <cp:revision>2</cp:revision>
  <cp:lastPrinted>2008-11-24T20:16:00Z</cp:lastPrinted>
  <dcterms:created xsi:type="dcterms:W3CDTF">2021-10-20T04:38:00Z</dcterms:created>
  <dcterms:modified xsi:type="dcterms:W3CDTF">2021-10-20T04:38:00Z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2021-06-13T22:49:42Z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
  </property>
  <property fmtid="{D5CDD505-2E9C-101B-9397-08002B2CF9AE}" pid="8" name="MSIP_Label_67599526-06ca-49cc-9fa9-5307800a949a_ContentBits">
    <vt:lpwstr>0</vt:lpwstr>
  </property>
</Properties>
</file>